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4155B1" w:rsidTr="00C85D0F">
        <w:trPr>
          <w:trHeight w:hRule="exact" w:val="1418"/>
        </w:trPr>
        <w:tc>
          <w:tcPr>
            <w:tcW w:w="6804" w:type="dxa"/>
            <w:shd w:val="clear" w:color="auto" w:fill="auto"/>
            <w:vAlign w:val="center"/>
          </w:tcPr>
          <w:p w:rsidR="00494D50" w:rsidRPr="004155B1" w:rsidRDefault="003A5B9A" w:rsidP="00C85D0F">
            <w:pPr>
              <w:pStyle w:val="EPName"/>
            </w:pPr>
            <w:r w:rsidRPr="004155B1">
              <w:t>European Parliament</w:t>
            </w:r>
          </w:p>
          <w:p w:rsidR="00494D50" w:rsidRPr="004155B1" w:rsidRDefault="004155B1" w:rsidP="004155B1">
            <w:pPr>
              <w:pStyle w:val="EPTerm"/>
            </w:pPr>
            <w:r w:rsidRPr="004155B1">
              <w:t>2019-2024</w:t>
            </w:r>
          </w:p>
        </w:tc>
        <w:tc>
          <w:tcPr>
            <w:tcW w:w="2268" w:type="dxa"/>
            <w:shd w:val="clear" w:color="auto" w:fill="auto"/>
          </w:tcPr>
          <w:p w:rsidR="00494D50" w:rsidRPr="004155B1" w:rsidRDefault="00494D50" w:rsidP="00C85D0F">
            <w:pPr>
              <w:pStyle w:val="EPLogo"/>
            </w:pPr>
            <w:r w:rsidRPr="004155B1">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4155B1" w:rsidRDefault="00BE4AC1" w:rsidP="00BE4AC1">
      <w:pPr>
        <w:pStyle w:val="LineTop"/>
      </w:pPr>
    </w:p>
    <w:p w:rsidR="00BE4AC1" w:rsidRPr="004155B1" w:rsidRDefault="003A5B9A" w:rsidP="00BE4AC1">
      <w:pPr>
        <w:pStyle w:val="EPBody"/>
      </w:pPr>
      <w:r w:rsidRPr="004155B1">
        <w:t>Consolidated legislative document</w:t>
      </w:r>
    </w:p>
    <w:p w:rsidR="00BE4AC1" w:rsidRPr="004155B1" w:rsidRDefault="00BE4AC1" w:rsidP="00330FEA">
      <w:pPr>
        <w:pStyle w:val="LineBottom"/>
      </w:pPr>
    </w:p>
    <w:p w:rsidR="00D06995" w:rsidRPr="004155B1" w:rsidRDefault="004155B1" w:rsidP="00D06995">
      <w:pPr>
        <w:pStyle w:val="CoverReference"/>
      </w:pPr>
      <w:r w:rsidRPr="004155B1">
        <w:t>EP-PE_TC1-COD(2022)0068</w:t>
      </w:r>
    </w:p>
    <w:p w:rsidR="00D06995" w:rsidRPr="004155B1" w:rsidRDefault="004155B1" w:rsidP="00D06995">
      <w:pPr>
        <w:pStyle w:val="CoverDate"/>
      </w:pPr>
      <w:r w:rsidRPr="004155B1">
        <w:rPr>
          <w:rStyle w:val="HideTWBInt"/>
        </w:rPr>
        <w:t>{14/02/2023}</w:t>
      </w:r>
      <w:r w:rsidRPr="004155B1">
        <w:t>14.2.2023</w:t>
      </w:r>
    </w:p>
    <w:p w:rsidR="00BE4AC1" w:rsidRPr="004155B1" w:rsidRDefault="004155B1" w:rsidP="00CC358E">
      <w:pPr>
        <w:pStyle w:val="CoverDocType"/>
      </w:pPr>
      <w:r w:rsidRPr="004155B1">
        <w:t>***I</w:t>
      </w:r>
    </w:p>
    <w:p w:rsidR="00BE4AC1" w:rsidRPr="004155B1" w:rsidRDefault="003A5B9A" w:rsidP="00BE0112">
      <w:pPr>
        <w:pStyle w:val="CoverDocType24a"/>
      </w:pPr>
      <w:r w:rsidRPr="004155B1">
        <w:t>POSITION OF THE EUROPEAN PARLIAMENT</w:t>
      </w:r>
    </w:p>
    <w:p w:rsidR="0096592A" w:rsidRPr="004155B1" w:rsidRDefault="004155B1" w:rsidP="00BE0112">
      <w:pPr>
        <w:pStyle w:val="CoverNormal"/>
      </w:pPr>
      <w:r w:rsidRPr="004155B1">
        <w:t>adopted at first reading on 14 February 2023 with a view to the adoption of Regulation (EU) 2023/… of the European Parliament and of the Council laying down rules for the exercise of the Union's rights in the implementation and enforcement of the Agreement on the withdrawal of the United Kingdom of Great Britain and Northern Ireland from the European Union and the European Atomic Energy Community and of the Trade and Cooperation Agreement between the European Union and the European Atomic Energy Community, of the one part, and the United Kingdom of Great Britain and Northern Ireland, of the other part</w:t>
      </w:r>
    </w:p>
    <w:p w:rsidR="00BE4AC1" w:rsidRPr="004155B1" w:rsidRDefault="00BE4AC1" w:rsidP="00BE0112">
      <w:pPr>
        <w:pStyle w:val="CoverNormal"/>
      </w:pPr>
      <w:r w:rsidRPr="004155B1">
        <w:t>(</w:t>
      </w:r>
      <w:r w:rsidR="004155B1" w:rsidRPr="004155B1">
        <w:t>EP-PE_TC1-COD(2022)0068</w:t>
      </w:r>
      <w:r w:rsidRPr="004155B1">
        <w:t>)</w:t>
      </w:r>
    </w:p>
    <w:p w:rsidR="001A7617" w:rsidRPr="004155B1" w:rsidRDefault="001A7617" w:rsidP="00BE0112">
      <w:pPr>
        <w:pStyle w:val="CoverNormal"/>
      </w:pPr>
    </w:p>
    <w:p w:rsidR="00BE0112" w:rsidRPr="004155B1" w:rsidRDefault="00BE0112" w:rsidP="009844B0"/>
    <w:p w:rsidR="00BE0112" w:rsidRPr="004155B1" w:rsidRDefault="00BE0112" w:rsidP="009844B0">
      <w:pPr>
        <w:sectPr w:rsidR="00BE0112" w:rsidRPr="004155B1" w:rsidSect="004155B1">
          <w:footerReference w:type="default" r:id="rId8"/>
          <w:footerReference w:type="first" r:id="rId9"/>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4155B1" w:rsidRDefault="003A5B9A" w:rsidP="008D715A">
      <w:pPr>
        <w:pStyle w:val="HeadingCenter24a"/>
      </w:pPr>
      <w:r w:rsidRPr="004155B1">
        <w:lastRenderedPageBreak/>
        <w:t>POSITION OF THE EUROPEAN PARLIAMENT</w:t>
      </w:r>
    </w:p>
    <w:p w:rsidR="0032447B" w:rsidRPr="004155B1" w:rsidRDefault="004155B1" w:rsidP="008D715A">
      <w:pPr>
        <w:pStyle w:val="HeadingCenter24a"/>
      </w:pPr>
      <w:r w:rsidRPr="004155B1">
        <w:rPr>
          <w:rFonts w:eastAsia="Calibri"/>
          <w:bCs/>
        </w:rPr>
        <w:t xml:space="preserve">adopted at first reading on 14 February 2023 </w:t>
      </w:r>
    </w:p>
    <w:p w:rsidR="00523372" w:rsidRPr="004155B1" w:rsidRDefault="004155B1" w:rsidP="008D715A">
      <w:pPr>
        <w:pStyle w:val="HeadingCenter24a"/>
      </w:pPr>
      <w:r w:rsidRPr="004155B1">
        <w:rPr>
          <w:rFonts w:eastAsia="Calibri"/>
          <w:bCs/>
        </w:rPr>
        <w:t xml:space="preserve">with a view to the adoption of Regulation (EU) 2023/… of the European Parliament and of the Council </w:t>
      </w:r>
      <w:bookmarkStart w:id="0" w:name="_DV_M1"/>
      <w:bookmarkStart w:id="1" w:name="_DV_M2"/>
      <w:bookmarkEnd w:id="0"/>
      <w:bookmarkEnd w:id="1"/>
      <w:r w:rsidRPr="004155B1">
        <w:rPr>
          <w:rFonts w:eastAsiaTheme="minorHAnsi"/>
          <w:szCs w:val="22"/>
          <w:lang w:eastAsia="en-US"/>
        </w:rPr>
        <w:t>laying down rules for the exercise of the Union's rights in the implementation and enforcement of the Agreement on the withdrawal of the United Kingdom of Great Britain and Northern Ireland from the European Union and the European Atomic Energy Community and of the Trade and Cooperation Agreement between the European Union and the European Atomic Energy Community, of the one part, and the United Kingdom of Great Britain and Northern Ireland, of the other part</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THE EUROPEAN PARLIAMENT AND THE COUNCIL OF THE EUROPEAN UNION,</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 xml:space="preserve">Having regard to the Treaty on the Functioning of the European Union, and in particular Articles </w:t>
      </w:r>
      <w:r w:rsidRPr="004155B1">
        <w:rPr>
          <w:rFonts w:eastAsiaTheme="minorHAnsi"/>
          <w:b/>
          <w:i/>
          <w:szCs w:val="22"/>
          <w:lang w:eastAsia="en-US"/>
        </w:rPr>
        <w:t>43(2), 91(1), 100(2), 173(3), 182(5), 188, 189(2) and 207(2)</w:t>
      </w:r>
      <w:r w:rsidRPr="004155B1">
        <w:rPr>
          <w:rFonts w:eastAsiaTheme="minorHAnsi"/>
          <w:szCs w:val="22"/>
          <w:lang w:eastAsia="en-US"/>
        </w:rPr>
        <w:t xml:space="preserve"> thereof,</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Having regard to the proposal from the European Commission,</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After transmission of the draft legislative act to the national parliaments,</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Having regard to the opinion of the European Economic and Social Committee</w:t>
      </w:r>
      <w:r w:rsidRPr="004155B1">
        <w:rPr>
          <w:rFonts w:eastAsiaTheme="minorHAnsi"/>
          <w:szCs w:val="22"/>
          <w:vertAlign w:val="superscript"/>
          <w:lang w:eastAsia="en-US"/>
        </w:rPr>
        <w:footnoteReference w:id="1"/>
      </w:r>
      <w:r w:rsidRPr="004155B1">
        <w:rPr>
          <w:rFonts w:eastAsiaTheme="minorHAnsi"/>
          <w:szCs w:val="22"/>
          <w:lang w:eastAsia="en-US"/>
        </w:rPr>
        <w:t>,</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After consulting the Committee of the Regions,</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Acting in accordance with the ordinary legislative procedure</w:t>
      </w:r>
      <w:r w:rsidRPr="004155B1">
        <w:rPr>
          <w:rFonts w:eastAsiaTheme="minorHAnsi"/>
          <w:szCs w:val="22"/>
          <w:vertAlign w:val="superscript"/>
          <w:lang w:eastAsia="en-US"/>
        </w:rPr>
        <w:footnoteReference w:id="2"/>
      </w:r>
      <w:r w:rsidRPr="004155B1">
        <w:rPr>
          <w:rFonts w:eastAsiaTheme="minorHAnsi"/>
          <w:szCs w:val="22"/>
          <w:lang w:eastAsia="en-US"/>
        </w:rPr>
        <w:t>,</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lastRenderedPageBreak/>
        <w:t>Whereas:</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(1)</w:t>
      </w:r>
      <w:r w:rsidRPr="004155B1">
        <w:rPr>
          <w:rFonts w:eastAsiaTheme="minorHAnsi"/>
          <w:szCs w:val="22"/>
          <w:lang w:eastAsia="en-US"/>
        </w:rPr>
        <w:tab/>
        <w:t>On 30 January 2020, the Council concluded the Agreement on the withdrawal of the United Kingdom of Great Britain and Northern Ireland from the European Union and the European Atomic Energy Community</w:t>
      </w:r>
      <w:r w:rsidRPr="004155B1">
        <w:rPr>
          <w:rFonts w:eastAsiaTheme="minorHAnsi"/>
          <w:szCs w:val="22"/>
          <w:vertAlign w:val="superscript"/>
          <w:lang w:eastAsia="en-US"/>
        </w:rPr>
        <w:footnoteReference w:id="3"/>
      </w:r>
      <w:r w:rsidRPr="004155B1">
        <w:rPr>
          <w:rFonts w:eastAsiaTheme="minorHAnsi"/>
          <w:szCs w:val="22"/>
          <w:lang w:eastAsia="en-US"/>
        </w:rPr>
        <w:t xml:space="preserve"> (the ‘Withdrawal Agreement’). That Agreement entered into force on 1 February 2020.</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(2)</w:t>
      </w:r>
      <w:r w:rsidRPr="004155B1">
        <w:rPr>
          <w:rFonts w:eastAsiaTheme="minorHAnsi"/>
          <w:szCs w:val="22"/>
          <w:lang w:eastAsia="en-US"/>
        </w:rPr>
        <w:tab/>
        <w:t>On 29 April 2021, the Council concluded, on behalf of the Union, the Trade and Cooperation Agreement between the European Union and the European Atomic Energy Community, of the one part, and the United Kingdom of Great Britain and Northern Ireland, of the other part</w:t>
      </w:r>
      <w:r w:rsidRPr="004155B1">
        <w:rPr>
          <w:rFonts w:eastAsiaTheme="minorHAnsi"/>
          <w:szCs w:val="22"/>
          <w:vertAlign w:val="superscript"/>
          <w:lang w:eastAsia="en-US"/>
        </w:rPr>
        <w:footnoteReference w:id="4"/>
      </w:r>
      <w:r w:rsidRPr="004155B1">
        <w:rPr>
          <w:rFonts w:eastAsiaTheme="minorHAnsi"/>
          <w:szCs w:val="22"/>
          <w:lang w:eastAsia="en-US"/>
        </w:rPr>
        <w:t xml:space="preserve"> (the ‘Trade and Cooperation Agreement’). That Agreement was applied provisionally as of 1 January 2021 and entered into force on 1 May 2021.</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(3)</w:t>
      </w:r>
      <w:r w:rsidRPr="004155B1">
        <w:rPr>
          <w:rFonts w:eastAsiaTheme="minorHAnsi"/>
          <w:szCs w:val="22"/>
          <w:lang w:eastAsia="en-US"/>
        </w:rPr>
        <w:tab/>
        <w:t>Both the Withdrawal Agreement and the Trade and Cooperation Agreement provide that a Party may adopt certain measures in the specific cases and subject to the conditions and procedures laid down therein. Those measures may entail the suspension of certain obligations under the Agreement concerned.</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lastRenderedPageBreak/>
        <w:t>(4)</w:t>
      </w:r>
      <w:r w:rsidRPr="004155B1">
        <w:rPr>
          <w:rFonts w:eastAsiaTheme="minorHAnsi"/>
          <w:szCs w:val="22"/>
          <w:lang w:eastAsia="en-US"/>
        </w:rPr>
        <w:tab/>
        <w:t>The Union and the United Kingdom may conclude other bilateral agreements between them that constitute supplementing agreements to the Trade and Cooperation Agreement and such supplementing agreements are an integral part of the overall bilateral relations as governed by that Agreement and form part of  the overall framework.</w:t>
      </w:r>
      <w:r w:rsidRPr="004155B1">
        <w:rPr>
          <w:rFonts w:eastAsiaTheme="minorHAnsi"/>
          <w:b/>
          <w:i/>
          <w:szCs w:val="22"/>
          <w:lang w:eastAsia="en-US"/>
        </w:rPr>
        <w:t xml:space="preserve"> It is recalled that, in accordance with Article 774(3) of the Trade and Cooperation Agreement, that Agreement neither applies to Gibraltar nor has any effects in that territory.</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(5)</w:t>
      </w:r>
      <w:r w:rsidRPr="004155B1">
        <w:rPr>
          <w:rFonts w:eastAsiaTheme="minorHAnsi"/>
          <w:szCs w:val="22"/>
          <w:lang w:eastAsia="en-US"/>
        </w:rPr>
        <w:tab/>
        <w:t xml:space="preserve">Should the need arise to </w:t>
      </w:r>
      <w:r w:rsidRPr="004155B1">
        <w:rPr>
          <w:rFonts w:eastAsiaTheme="minorHAnsi"/>
          <w:b/>
          <w:i/>
          <w:szCs w:val="22"/>
          <w:lang w:eastAsia="en-US"/>
        </w:rPr>
        <w:t>adopt unilateral measures as provided for in</w:t>
      </w:r>
      <w:r w:rsidRPr="004155B1">
        <w:rPr>
          <w:rFonts w:eastAsiaTheme="minorHAnsi"/>
          <w:szCs w:val="22"/>
          <w:lang w:eastAsia="en-US"/>
        </w:rPr>
        <w:t xml:space="preserve"> the Withdrawal Agreement</w:t>
      </w:r>
      <w:r w:rsidRPr="004155B1">
        <w:rPr>
          <w:rFonts w:eastAsiaTheme="minorHAnsi"/>
          <w:b/>
          <w:i/>
          <w:szCs w:val="22"/>
          <w:lang w:eastAsia="en-US"/>
        </w:rPr>
        <w:t>, including the Protocol on Ireland/Northern Ireland,</w:t>
      </w:r>
      <w:r w:rsidRPr="004155B1">
        <w:rPr>
          <w:rFonts w:eastAsiaTheme="minorHAnsi"/>
          <w:szCs w:val="22"/>
          <w:lang w:eastAsia="en-US"/>
        </w:rPr>
        <w:t xml:space="preserve"> and the Trade and Cooperation Agreement, the Union should be in a position</w:t>
      </w:r>
      <w:r w:rsidRPr="004155B1">
        <w:rPr>
          <w:rFonts w:eastAsiaTheme="minorHAnsi"/>
          <w:b/>
          <w:i/>
          <w:szCs w:val="22"/>
          <w:lang w:eastAsia="en-US"/>
        </w:rPr>
        <w:t>, in the light of the Union's general interest,</w:t>
      </w:r>
      <w:r w:rsidRPr="004155B1">
        <w:rPr>
          <w:rFonts w:eastAsiaTheme="minorHAnsi"/>
          <w:szCs w:val="22"/>
          <w:lang w:eastAsia="en-US"/>
        </w:rPr>
        <w:t xml:space="preserve"> to make appropriate use of the instruments available to it swiftly and in a proportionate, effective and flexible manner, while fully involving Member States. The Union should also be able to take appropriate measures if effective recourse to binding dispute settlement under the Withdrawal Agreement or the Trade and Cooperation Agreement is not possible because the United Kingdom does not cooperate in making such recourse possible. It is therefore necessary to lay down rules and procedures governing the adoption of such measures.</w:t>
      </w:r>
    </w:p>
    <w:p w:rsidR="004155B1" w:rsidRPr="004155B1" w:rsidRDefault="004155B1" w:rsidP="004155B1">
      <w:pPr>
        <w:spacing w:after="200" w:line="276" w:lineRule="auto"/>
        <w:rPr>
          <w:rFonts w:eastAsiaTheme="minorHAnsi"/>
          <w:b/>
          <w:i/>
          <w:szCs w:val="22"/>
          <w:lang w:eastAsia="en-US"/>
        </w:rPr>
      </w:pPr>
      <w:r w:rsidRPr="004155B1">
        <w:rPr>
          <w:rFonts w:eastAsiaTheme="minorHAnsi"/>
          <w:b/>
          <w:i/>
          <w:szCs w:val="22"/>
          <w:lang w:eastAsia="en-US"/>
        </w:rPr>
        <w:br w:type="page"/>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lastRenderedPageBreak/>
        <w:t>(6)</w:t>
      </w:r>
      <w:r w:rsidRPr="004155B1">
        <w:rPr>
          <w:rFonts w:eastAsiaTheme="minorHAnsi"/>
          <w:szCs w:val="22"/>
          <w:lang w:eastAsia="en-US"/>
        </w:rPr>
        <w:tab/>
      </w:r>
      <w:r w:rsidRPr="004155B1">
        <w:rPr>
          <w:rFonts w:eastAsiaTheme="minorHAnsi"/>
          <w:b/>
          <w:i/>
          <w:szCs w:val="22"/>
          <w:lang w:eastAsia="en-US"/>
        </w:rPr>
        <w:t>It is recalled that the procedure for adopting autonomous measures in accordance with Regulation (EU) No 182/2011 of the European Parliament and of the Council</w:t>
      </w:r>
      <w:r w:rsidRPr="004155B1">
        <w:rPr>
          <w:rFonts w:eastAsiaTheme="minorHAnsi"/>
          <w:b/>
          <w:i/>
          <w:szCs w:val="22"/>
          <w:vertAlign w:val="superscript"/>
          <w:lang w:eastAsia="en-US"/>
        </w:rPr>
        <w:footnoteReference w:id="5"/>
      </w:r>
      <w:r w:rsidRPr="004155B1">
        <w:rPr>
          <w:rFonts w:eastAsiaTheme="minorHAnsi"/>
          <w:b/>
          <w:i/>
          <w:szCs w:val="22"/>
          <w:lang w:eastAsia="en-US"/>
        </w:rPr>
        <w:t xml:space="preserve"> pursuant to this Regulation is without prejudice to the continued and permanent exercise by the Council of its policy-making, coordination and decision-making functions conferred by the Treaties insofar as the implementation of the agreements between the Union and the United Kingdom is concerned.</w:t>
      </w:r>
    </w:p>
    <w:p w:rsidR="004155B1" w:rsidRPr="004155B1" w:rsidRDefault="004155B1" w:rsidP="004155B1">
      <w:pPr>
        <w:spacing w:before="120" w:after="120" w:line="360" w:lineRule="auto"/>
        <w:ind w:left="851" w:hanging="851"/>
        <w:rPr>
          <w:rFonts w:eastAsiaTheme="minorHAnsi"/>
          <w:b/>
          <w:i/>
          <w:szCs w:val="22"/>
          <w:lang w:eastAsia="en-US"/>
        </w:rPr>
      </w:pPr>
      <w:r w:rsidRPr="004155B1">
        <w:rPr>
          <w:rFonts w:eastAsiaTheme="minorHAnsi"/>
          <w:b/>
          <w:i/>
          <w:szCs w:val="22"/>
          <w:lang w:eastAsia="en-US"/>
        </w:rPr>
        <w:t>(7)</w:t>
      </w:r>
      <w:r w:rsidRPr="004155B1">
        <w:rPr>
          <w:rFonts w:eastAsiaTheme="minorHAnsi"/>
          <w:szCs w:val="22"/>
          <w:lang w:eastAsia="en-US"/>
        </w:rPr>
        <w:tab/>
      </w:r>
      <w:r w:rsidRPr="004155B1">
        <w:rPr>
          <w:rFonts w:eastAsiaTheme="minorHAnsi"/>
          <w:b/>
          <w:i/>
          <w:szCs w:val="22"/>
          <w:lang w:eastAsia="en-US"/>
        </w:rPr>
        <w:t>To give effect to the powers laid down in Article 16(1) of the Treaty on European Union (TEU) and Article 218(9) of the Treaty on the Functioning of the European Union (TFEU), the internal decision-making in relation to the implementation of the Withdrawal Agreement and of the Trade and Cooperation Agreement is reflected in Council Decisions (EU) 2020/135</w:t>
      </w:r>
      <w:r w:rsidRPr="004155B1">
        <w:rPr>
          <w:rFonts w:eastAsiaTheme="minorHAnsi"/>
          <w:b/>
          <w:i/>
          <w:szCs w:val="22"/>
          <w:vertAlign w:val="superscript"/>
          <w:lang w:eastAsia="en-US"/>
        </w:rPr>
        <w:footnoteReference w:id="6"/>
      </w:r>
      <w:r w:rsidRPr="004155B1">
        <w:rPr>
          <w:rFonts w:eastAsiaTheme="minorHAnsi"/>
          <w:b/>
          <w:i/>
          <w:szCs w:val="22"/>
          <w:lang w:eastAsia="en-US"/>
        </w:rPr>
        <w:t xml:space="preserve"> and (EU) 2021/689</w:t>
      </w:r>
      <w:r w:rsidRPr="004155B1">
        <w:rPr>
          <w:rFonts w:eastAsiaTheme="minorHAnsi"/>
          <w:b/>
          <w:i/>
          <w:szCs w:val="22"/>
          <w:vertAlign w:val="superscript"/>
          <w:lang w:eastAsia="en-US"/>
        </w:rPr>
        <w:footnoteReference w:id="7"/>
      </w:r>
      <w:r w:rsidRPr="004155B1">
        <w:rPr>
          <w:rFonts w:eastAsiaTheme="minorHAnsi"/>
          <w:b/>
          <w:i/>
          <w:szCs w:val="22"/>
          <w:lang w:eastAsia="en-US"/>
        </w:rPr>
        <w:t>. In order for the Council to be in a position to exercise fully its policy-making, coordination and decision-making functions in that regard, the Council should be kept continuously informed on a permanent and regular basis of the implementation of those Agreements, including about all difficulties that might arise, in particular possible breaches of those Agreements and other situations that may give rise to measures taken pursuant to this Regulation. In that regard, the Council should be duly informed in a timely manner of possible responses at the disposal of the Union to ensure a full and proper implementation of those Agreements, as well as of the follow-up to any measures taken.</w:t>
      </w:r>
      <w:r w:rsidRPr="004155B1">
        <w:rPr>
          <w:rFonts w:eastAsiaTheme="minorHAnsi"/>
          <w:b/>
          <w:i/>
          <w:szCs w:val="22"/>
          <w:lang w:eastAsia="en-US"/>
        </w:rPr>
        <w:br w:type="page"/>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lastRenderedPageBreak/>
        <w:t>(8)</w:t>
      </w:r>
      <w:r w:rsidRPr="004155B1">
        <w:rPr>
          <w:rFonts w:eastAsiaTheme="minorHAnsi"/>
          <w:szCs w:val="22"/>
          <w:lang w:eastAsia="en-US"/>
        </w:rPr>
        <w:tab/>
      </w:r>
      <w:r w:rsidRPr="004155B1">
        <w:rPr>
          <w:rFonts w:eastAsiaTheme="minorHAnsi"/>
          <w:b/>
          <w:i/>
          <w:szCs w:val="22"/>
          <w:lang w:eastAsia="en-US"/>
        </w:rPr>
        <w:t>The European Parliament should be immediately and fully informed, as provided for in Article 218(10) TFEU, allowing it to exercise fully its prerogatives in accordance with the Treaties. The Commission should inform the European Parliament in a timely manner of all difficulties that may arise, in particular possible breaches of the Withdrawal Agreement and of the Trade and Cooperation Agreement and other situations that might result in measures being taken pursuant to this Regulation.</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(9)</w:t>
      </w:r>
      <w:r w:rsidRPr="004155B1">
        <w:rPr>
          <w:rFonts w:eastAsiaTheme="minorHAnsi"/>
          <w:szCs w:val="22"/>
          <w:lang w:eastAsia="en-US"/>
        </w:rPr>
        <w:tab/>
        <w:t>The rules and procedures laid down in this Regulation should take precedence over any provisions of Union law adopted on the basis of the TFEU that govern the same subject matter.</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(10)</w:t>
      </w:r>
      <w:r w:rsidRPr="004155B1">
        <w:rPr>
          <w:rFonts w:eastAsiaTheme="minorHAnsi"/>
          <w:szCs w:val="22"/>
          <w:lang w:eastAsia="en-US"/>
        </w:rPr>
        <w:tab/>
        <w:t xml:space="preserve">In order to ensure that this Regulation remains fit for purpose, the Commission should undertake, within </w:t>
      </w:r>
      <w:r w:rsidRPr="004155B1">
        <w:rPr>
          <w:rFonts w:eastAsiaTheme="minorHAnsi"/>
          <w:b/>
          <w:i/>
          <w:szCs w:val="22"/>
          <w:lang w:eastAsia="en-US"/>
        </w:rPr>
        <w:t>three</w:t>
      </w:r>
      <w:r w:rsidRPr="004155B1">
        <w:rPr>
          <w:rFonts w:eastAsiaTheme="minorHAnsi"/>
          <w:szCs w:val="22"/>
          <w:lang w:eastAsia="en-US"/>
        </w:rPr>
        <w:t xml:space="preserve"> years of its entry into force, a review of its scope and implementation and report its findings to the European Parliament, the Council, the European Economic and Social Committee and the Committee of the Regions. That review should</w:t>
      </w:r>
      <w:r w:rsidRPr="004155B1">
        <w:rPr>
          <w:rFonts w:eastAsiaTheme="minorHAnsi"/>
          <w:b/>
          <w:i/>
          <w:szCs w:val="22"/>
          <w:lang w:eastAsia="en-US"/>
        </w:rPr>
        <w:t>, where appropriate, be accompanied by relevant legislative proposals</w:t>
      </w:r>
      <w:r w:rsidRPr="004155B1">
        <w:rPr>
          <w:rFonts w:eastAsiaTheme="minorHAnsi"/>
          <w:szCs w:val="22"/>
          <w:lang w:eastAsia="en-US"/>
        </w:rPr>
        <w:t>.</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lastRenderedPageBreak/>
        <w:t>(11)</w:t>
      </w:r>
      <w:r w:rsidRPr="004155B1">
        <w:rPr>
          <w:rFonts w:eastAsiaTheme="minorHAnsi"/>
          <w:szCs w:val="22"/>
          <w:lang w:eastAsia="en-US"/>
        </w:rPr>
        <w:tab/>
        <w:t>In order to ensure uniform conditions for the implementation of this Regulation, and in particular in order to ensure the swift, effective and flexible exercise of the corresponding rights of the Union under the Withdrawal Agreement and the Trade and Cooperation Agreement, implementing powers should be conferred on the Commission to adopt the measures taken pursuant to this Regulation and to adopt, as appropriate, measures restricting trade or other activities. Those powers should also extend to the amendment, suspension or repeal of the adopted measures. They should be exercised in accordance with Regulation (EU) No 182/2011. Given that the envisaged measures entail the adoption of acts of general scope, and that most of the envisaged measures relate to the areas referred to in Article 2(2), point (b), of that Regulation, the examination procedure should be used for the adoption of those measures. The Commission should adopt immediately applicable implementing acts where, in duly justified cases, imperative grounds of urgency so require for the appropriate protection of the Union’s interests.</w:t>
      </w:r>
    </w:p>
    <w:p w:rsidR="004155B1" w:rsidRPr="004155B1" w:rsidRDefault="004155B1" w:rsidP="004155B1">
      <w:pPr>
        <w:spacing w:after="200" w:line="276" w:lineRule="auto"/>
        <w:rPr>
          <w:rFonts w:eastAsiaTheme="minorHAnsi"/>
          <w:b/>
          <w:i/>
          <w:szCs w:val="22"/>
          <w:lang w:eastAsia="en-US"/>
        </w:rPr>
      </w:pPr>
      <w:r w:rsidRPr="004155B1">
        <w:rPr>
          <w:rFonts w:eastAsiaTheme="minorHAnsi"/>
          <w:b/>
          <w:i/>
          <w:szCs w:val="22"/>
          <w:lang w:eastAsia="en-US"/>
        </w:rPr>
        <w:br w:type="page"/>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lastRenderedPageBreak/>
        <w:t>(12)</w:t>
      </w:r>
      <w:r w:rsidRPr="004155B1">
        <w:rPr>
          <w:rFonts w:eastAsiaTheme="minorHAnsi"/>
          <w:szCs w:val="22"/>
          <w:lang w:eastAsia="en-US"/>
        </w:rPr>
        <w:tab/>
      </w:r>
      <w:r w:rsidRPr="004155B1">
        <w:rPr>
          <w:rFonts w:eastAsiaTheme="minorHAnsi"/>
          <w:b/>
          <w:i/>
          <w:szCs w:val="22"/>
          <w:lang w:eastAsia="en-US"/>
        </w:rPr>
        <w:t>When the Council decides pursuant to Article 43(3) TFEU to suspend, in whole or in part, access to Union waters under Heading Five of the Trade and Cooperation Agreement by vessels of the United Kingdom for fisheries, it should take into account the effectiveness of such suspension in inducing compliance of the United Kingdom with the relevant agreement and any specific criteria established therein. Such suspension should be implemented in relation to individual vessels of the United Kingdom in accordance with Title III of Regulation (EU) 2017/2403 of the European Parliament and of the Council</w:t>
      </w:r>
      <w:r w:rsidRPr="004155B1">
        <w:rPr>
          <w:rFonts w:eastAsiaTheme="minorHAnsi"/>
          <w:b/>
          <w:i/>
          <w:szCs w:val="22"/>
          <w:vertAlign w:val="superscript"/>
          <w:lang w:eastAsia="en-US"/>
        </w:rPr>
        <w:footnoteReference w:id="8"/>
      </w:r>
      <w:r w:rsidRPr="004155B1">
        <w:rPr>
          <w:rFonts w:eastAsiaTheme="minorHAnsi"/>
          <w:b/>
          <w:i/>
          <w:szCs w:val="22"/>
          <w:lang w:eastAsia="en-US"/>
        </w:rPr>
        <w:t xml:space="preserve">. </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(13)</w:t>
      </w:r>
      <w:r w:rsidRPr="004155B1">
        <w:rPr>
          <w:rFonts w:eastAsiaTheme="minorHAnsi"/>
          <w:szCs w:val="22"/>
          <w:lang w:eastAsia="en-US"/>
        </w:rPr>
        <w:tab/>
        <w:t>Since the objectives of this Regulation, namely to lay down rules and procedures governing the exercise of the Union's rights under the Withdrawal Agreement and the Trade and Cooperation Agreement, and to empower the Commission to adopt the necessary measures including, as appropriate, restrictions in trade, investment or other activities within the scope of the Trade and Cooperation Agreement cannot be sufficiently achieved by the Member States but can rather, by reason of its scale and effects, be better achieved at Union level, the Union may adopt measures in accordance with the principle of subsidiarity as set out in Article 5 TEU. Moreover, since only the Union is Party to the Withdrawal Agreement and the Trade and Cooperation Agreement, action at the level of international law in respect of those Agreements can only be taken by the Union. In accordance with the principle of proportionality as set out in that Article, this Regulation does not go beyond what is necessary in order to achieve those objectives,</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HAVE ADOPTED THIS REGULATION:</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szCs w:val="22"/>
          <w:lang w:eastAsia="en-US"/>
        </w:rPr>
        <w:lastRenderedPageBreak/>
        <w:t>Article 1</w:t>
      </w:r>
      <w:r w:rsidRPr="004155B1">
        <w:rPr>
          <w:rFonts w:eastAsiaTheme="minorHAnsi"/>
          <w:szCs w:val="22"/>
          <w:lang w:eastAsia="en-US"/>
        </w:rPr>
        <w:br/>
        <w:t>Subject matter and scope</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1.</w:t>
      </w:r>
      <w:r w:rsidRPr="004155B1">
        <w:rPr>
          <w:rFonts w:eastAsiaTheme="minorHAnsi"/>
          <w:szCs w:val="22"/>
          <w:lang w:eastAsia="en-US"/>
        </w:rPr>
        <w:tab/>
        <w:t>This Regulation lays down rules and procedures to ensure an effective and timely exercise of the Union's rights in implementing and enforcing the Agreement on the withdrawal of the United Kingdom of Great Britain and Northern Ireland from the European Union and the European Atomic Energy Community (the ‘Withdrawal Agreement’), the Trade and Cooperation Agreement between the European Union and the European Atomic Energy Community, of the one part, and the United Kingdom of Great Britain and Northern Ireland, of the other part (the ‘Trade and Cooperation Agreement’) and supplementing agreements to the Trade and Cooperation Agreement.</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2.</w:t>
      </w:r>
      <w:r w:rsidRPr="004155B1">
        <w:rPr>
          <w:rFonts w:eastAsiaTheme="minorHAnsi"/>
          <w:szCs w:val="22"/>
          <w:lang w:eastAsia="en-US"/>
        </w:rPr>
        <w:tab/>
        <w:t>This Regulation applies to the following measures adopted by the Union:</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(a)</w:t>
      </w:r>
      <w:r w:rsidRPr="004155B1">
        <w:rPr>
          <w:rFonts w:eastAsiaTheme="minorHAnsi"/>
          <w:szCs w:val="22"/>
          <w:lang w:eastAsia="en-US"/>
        </w:rPr>
        <w:tab/>
        <w:t xml:space="preserve">the </w:t>
      </w:r>
      <w:r w:rsidRPr="004155B1">
        <w:rPr>
          <w:rFonts w:eastAsiaTheme="minorHAnsi"/>
          <w:b/>
          <w:i/>
          <w:szCs w:val="22"/>
          <w:lang w:eastAsia="en-US"/>
        </w:rPr>
        <w:t xml:space="preserve">temporary </w:t>
      </w:r>
      <w:r w:rsidRPr="004155B1">
        <w:rPr>
          <w:rFonts w:eastAsiaTheme="minorHAnsi"/>
          <w:szCs w:val="22"/>
          <w:lang w:eastAsia="en-US"/>
        </w:rPr>
        <w:t>suspension of the relevant preferential treatment of the product or products concerned as set out in Article 34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(b)</w:t>
      </w:r>
      <w:r w:rsidRPr="004155B1">
        <w:rPr>
          <w:rFonts w:eastAsiaTheme="minorHAnsi"/>
          <w:szCs w:val="22"/>
          <w:lang w:eastAsia="en-US"/>
        </w:rPr>
        <w:tab/>
        <w:t>remedial measures and the suspension of obligations as set out in Article 374 of the Trade and Cooperation Agreement;</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lastRenderedPageBreak/>
        <w:t>(c)</w:t>
      </w:r>
      <w:r w:rsidRPr="004155B1">
        <w:rPr>
          <w:rFonts w:eastAsiaTheme="minorHAnsi"/>
          <w:szCs w:val="22"/>
          <w:lang w:eastAsia="en-US"/>
        </w:rPr>
        <w:tab/>
        <w:t>rebalancing measures and countermeasures as set out in Article 411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(d)</w:t>
      </w:r>
      <w:r w:rsidRPr="004155B1">
        <w:rPr>
          <w:rFonts w:eastAsiaTheme="minorHAnsi"/>
          <w:szCs w:val="22"/>
          <w:lang w:eastAsia="en-US"/>
        </w:rPr>
        <w:tab/>
        <w:t xml:space="preserve">the refusal, revocation, suspension, limitation of and the imposition of conditions on the operating authorisations </w:t>
      </w:r>
      <w:r w:rsidRPr="004155B1">
        <w:rPr>
          <w:rFonts w:eastAsiaTheme="minorHAnsi"/>
          <w:b/>
          <w:i/>
          <w:szCs w:val="22"/>
          <w:lang w:eastAsia="en-US"/>
        </w:rPr>
        <w:t xml:space="preserve">or technical permissions </w:t>
      </w:r>
      <w:r w:rsidRPr="004155B1">
        <w:rPr>
          <w:rFonts w:eastAsiaTheme="minorHAnsi"/>
          <w:szCs w:val="22"/>
          <w:lang w:eastAsia="en-US"/>
        </w:rPr>
        <w:t>of air carriers of the United Kingdom, as well as the refusal, revocation, suspension, limitation of and the imposition of conditions on the operation of those air carriers, as set out in Articles 434(4) and 435(12)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(e)</w:t>
      </w:r>
      <w:r w:rsidRPr="004155B1">
        <w:rPr>
          <w:rFonts w:eastAsiaTheme="minorHAnsi"/>
          <w:szCs w:val="22"/>
          <w:lang w:eastAsia="en-US"/>
        </w:rPr>
        <w:tab/>
        <w:t>the suspension of acceptance obligations as set out in Article 457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(f)</w:t>
      </w:r>
      <w:r w:rsidRPr="004155B1">
        <w:rPr>
          <w:rFonts w:eastAsiaTheme="minorHAnsi"/>
          <w:szCs w:val="22"/>
          <w:lang w:eastAsia="en-US"/>
        </w:rPr>
        <w:tab/>
        <w:t>remedial measures as set out in Article 469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(g)</w:t>
      </w:r>
      <w:r w:rsidRPr="004155B1">
        <w:rPr>
          <w:rFonts w:eastAsiaTheme="minorHAnsi"/>
          <w:szCs w:val="22"/>
          <w:lang w:eastAsia="en-US"/>
        </w:rPr>
        <w:tab/>
        <w:t>compensatory measures</w:t>
      </w:r>
      <w:r w:rsidRPr="004155B1">
        <w:rPr>
          <w:rFonts w:eastAsiaTheme="minorHAnsi"/>
          <w:b/>
          <w:i/>
          <w:szCs w:val="22"/>
          <w:lang w:eastAsia="en-US"/>
        </w:rPr>
        <w:t xml:space="preserve">, in particular </w:t>
      </w:r>
      <w:r w:rsidRPr="004155B1">
        <w:rPr>
          <w:rFonts w:eastAsiaTheme="minorHAnsi"/>
          <w:szCs w:val="22"/>
          <w:lang w:eastAsia="en-US"/>
        </w:rPr>
        <w:t>the suspension of obligations as set out in Article 501 of the Trade and Cooperation Agreement;</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lastRenderedPageBreak/>
        <w:t>(h)</w:t>
      </w:r>
      <w:r w:rsidRPr="004155B1">
        <w:rPr>
          <w:rFonts w:eastAsiaTheme="minorHAnsi"/>
          <w:szCs w:val="22"/>
          <w:lang w:eastAsia="en-US"/>
        </w:rPr>
        <w:tab/>
        <w:t>remedial measures and the suspension of obligations as set out in Article 506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(i)</w:t>
      </w:r>
      <w:r w:rsidRPr="004155B1">
        <w:rPr>
          <w:rFonts w:eastAsiaTheme="minorHAnsi"/>
          <w:szCs w:val="22"/>
          <w:lang w:eastAsia="en-US"/>
        </w:rPr>
        <w:tab/>
        <w:t>the suspension or termination of the application of Protocol I to the Trade and Cooperation Agreement in relation to one or more Union programmes or activities adopted on the basis of the TFEU, or parts thereof, as set out in Articles 718 and 719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(j)</w:t>
      </w:r>
      <w:r w:rsidRPr="004155B1">
        <w:rPr>
          <w:rFonts w:eastAsiaTheme="minorHAnsi"/>
          <w:szCs w:val="22"/>
          <w:lang w:eastAsia="en-US"/>
        </w:rPr>
        <w:tab/>
        <w:t>an offer or acceptance of temporary compensation or the suspension of obligations in the context of compliance following an arbitration or panel of experts procedure under Article 749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(k)</w:t>
      </w:r>
      <w:r w:rsidRPr="004155B1">
        <w:rPr>
          <w:rFonts w:eastAsiaTheme="minorHAnsi"/>
          <w:szCs w:val="22"/>
          <w:lang w:eastAsia="en-US"/>
        </w:rPr>
        <w:tab/>
        <w:t>safeguard measures and rebalancing measures as set out in Article 773 of the Trade and Cooperation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(l)</w:t>
      </w:r>
      <w:r w:rsidRPr="004155B1">
        <w:rPr>
          <w:rFonts w:eastAsiaTheme="minorHAnsi"/>
          <w:szCs w:val="22"/>
          <w:lang w:eastAsia="en-US"/>
        </w:rPr>
        <w:tab/>
        <w:t>measures restricting trade, investment or other activities within the scope of the Trade and Cooperation Agreement, if adjudication is not possible because the United Kingdom is not taking the steps that are necessary for a dispute settlement procedure under that Agreement or the Withdrawal Agreement to function, including unduly delaying the proceedings amounting to non-cooperation in the process;</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lastRenderedPageBreak/>
        <w:t>(m)</w:t>
      </w:r>
      <w:r w:rsidRPr="004155B1">
        <w:rPr>
          <w:rFonts w:eastAsiaTheme="minorHAnsi"/>
          <w:szCs w:val="22"/>
          <w:lang w:eastAsia="en-US"/>
        </w:rPr>
        <w:tab/>
        <w:t>the suspension of obligations under Article 178 of the Withdrawal Agreement in the context of compliance with an arbitration panel ruling;</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(n)</w:t>
      </w:r>
      <w:r w:rsidRPr="004155B1">
        <w:rPr>
          <w:rFonts w:eastAsiaTheme="minorHAnsi"/>
          <w:szCs w:val="22"/>
          <w:lang w:eastAsia="en-US"/>
        </w:rPr>
        <w:tab/>
        <w:t>remedial measures as set out in Article 13 of the Protocol on Ireland/Northern Ireland to the Withdrawal Agreement;</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(o)</w:t>
      </w:r>
      <w:r w:rsidRPr="004155B1">
        <w:rPr>
          <w:rFonts w:eastAsiaTheme="minorHAnsi"/>
          <w:szCs w:val="22"/>
          <w:lang w:eastAsia="en-US"/>
        </w:rPr>
        <w:tab/>
        <w:t>safeguard measures and rebalancing measures as set out in Article 16 of the Protocol on Ireland/Northern Ireland to the Withdrawal Agreement.</w:t>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szCs w:val="22"/>
          <w:lang w:eastAsia="en-US"/>
        </w:rPr>
        <w:t>Article 2</w:t>
      </w:r>
      <w:r w:rsidRPr="004155B1">
        <w:rPr>
          <w:rFonts w:eastAsiaTheme="minorHAnsi"/>
          <w:szCs w:val="22"/>
          <w:lang w:eastAsia="en-US"/>
        </w:rPr>
        <w:br/>
        <w:t>Exercise of the Union’s rights</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1.</w:t>
      </w:r>
      <w:r w:rsidRPr="004155B1">
        <w:rPr>
          <w:rFonts w:eastAsiaTheme="minorHAnsi"/>
          <w:szCs w:val="22"/>
          <w:lang w:eastAsia="en-US"/>
        </w:rPr>
        <w:tab/>
        <w:t>The Commission shall be empowered, by means of implementing acts,</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(a)</w:t>
      </w:r>
      <w:r w:rsidRPr="004155B1">
        <w:rPr>
          <w:rFonts w:eastAsiaTheme="minorHAnsi"/>
          <w:szCs w:val="22"/>
          <w:lang w:eastAsia="en-US"/>
        </w:rPr>
        <w:tab/>
        <w:t>to adopt the measures referred to in Article 1(2) of this Regulation</w:t>
      </w:r>
      <w:r w:rsidRPr="004155B1">
        <w:rPr>
          <w:rFonts w:eastAsiaTheme="minorHAnsi"/>
          <w:b/>
          <w:i/>
          <w:szCs w:val="22"/>
          <w:lang w:eastAsia="en-US"/>
        </w:rPr>
        <w:t>, with the exception of the suspension, in whole or in part, of access to Union waters under the Trade and Cooperation Agreement by vessels of the United Kingdom for fisheries</w:t>
      </w:r>
      <w:r w:rsidRPr="004155B1">
        <w:rPr>
          <w:rFonts w:eastAsiaTheme="minorHAnsi"/>
          <w:szCs w:val="22"/>
          <w:lang w:eastAsia="en-US"/>
        </w:rPr>
        <w:t>; and</w:t>
      </w:r>
    </w:p>
    <w:p w:rsidR="004155B1" w:rsidRPr="004155B1" w:rsidRDefault="004155B1" w:rsidP="004155B1">
      <w:pPr>
        <w:spacing w:before="120" w:after="120" w:line="360" w:lineRule="auto"/>
        <w:ind w:left="1418" w:hanging="567"/>
        <w:rPr>
          <w:rFonts w:eastAsiaTheme="minorHAnsi"/>
          <w:szCs w:val="22"/>
          <w:lang w:eastAsia="en-US"/>
        </w:rPr>
      </w:pPr>
      <w:r w:rsidRPr="004155B1">
        <w:rPr>
          <w:rFonts w:eastAsiaTheme="minorHAnsi"/>
          <w:szCs w:val="22"/>
          <w:lang w:eastAsia="en-US"/>
        </w:rPr>
        <w:t>(b)</w:t>
      </w:r>
      <w:r w:rsidRPr="004155B1">
        <w:rPr>
          <w:rFonts w:eastAsiaTheme="minorHAnsi"/>
          <w:szCs w:val="22"/>
          <w:lang w:eastAsia="en-US"/>
        </w:rPr>
        <w:tab/>
        <w:t>where the measure consists of the suspension of an obligation under any of the Agreements referred to in Article 1(1), to impose restrictions on trade, investment or other activities within the scope of the agreement concerned which would otherwise be precluded by the suspended obligation.</w:t>
      </w:r>
    </w:p>
    <w:p w:rsidR="004155B1" w:rsidRPr="004155B1" w:rsidRDefault="004155B1" w:rsidP="004155B1">
      <w:pPr>
        <w:spacing w:before="120" w:after="120" w:line="360" w:lineRule="auto"/>
        <w:ind w:left="850"/>
        <w:rPr>
          <w:rFonts w:eastAsiaTheme="minorHAnsi"/>
          <w:szCs w:val="22"/>
          <w:lang w:eastAsia="en-US"/>
        </w:rPr>
      </w:pPr>
      <w:r w:rsidRPr="004155B1">
        <w:rPr>
          <w:rFonts w:eastAsiaTheme="minorHAnsi"/>
          <w:szCs w:val="22"/>
          <w:lang w:eastAsia="en-US"/>
        </w:rPr>
        <w:t>Where appropriate, those implementing acts shall specify the duration of the adopted measures.</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851" w:hanging="851"/>
        <w:rPr>
          <w:rFonts w:eastAsiaTheme="minorHAnsi"/>
          <w:b/>
          <w:i/>
          <w:szCs w:val="22"/>
          <w:lang w:eastAsia="en-US"/>
        </w:rPr>
      </w:pPr>
      <w:r w:rsidRPr="004155B1">
        <w:rPr>
          <w:rFonts w:eastAsiaTheme="minorHAnsi"/>
          <w:szCs w:val="22"/>
          <w:lang w:eastAsia="en-US"/>
        </w:rPr>
        <w:lastRenderedPageBreak/>
        <w:t>2.</w:t>
      </w:r>
      <w:r w:rsidRPr="004155B1">
        <w:rPr>
          <w:rFonts w:eastAsiaTheme="minorHAnsi"/>
          <w:szCs w:val="22"/>
          <w:lang w:eastAsia="en-US"/>
        </w:rPr>
        <w:tab/>
        <w:t xml:space="preserve">Measures adopted </w:t>
      </w:r>
      <w:r w:rsidRPr="004155B1">
        <w:rPr>
          <w:rFonts w:eastAsiaTheme="minorHAnsi"/>
          <w:b/>
          <w:i/>
          <w:szCs w:val="22"/>
          <w:lang w:eastAsia="en-US"/>
        </w:rPr>
        <w:t>pursuant to this Regulation</w:t>
      </w:r>
      <w:r w:rsidRPr="004155B1">
        <w:rPr>
          <w:rFonts w:eastAsiaTheme="minorHAnsi"/>
          <w:szCs w:val="22"/>
          <w:lang w:eastAsia="en-US"/>
        </w:rPr>
        <w:t xml:space="preserve"> shall be </w:t>
      </w:r>
      <w:r w:rsidRPr="004155B1">
        <w:rPr>
          <w:rFonts w:eastAsiaTheme="minorHAnsi"/>
          <w:b/>
          <w:i/>
          <w:szCs w:val="22"/>
          <w:lang w:eastAsia="en-US"/>
        </w:rPr>
        <w:t>proportionate to the objectives pursued and effective in inducing compliance</w:t>
      </w:r>
      <w:r w:rsidRPr="004155B1">
        <w:rPr>
          <w:rFonts w:eastAsiaTheme="minorHAnsi"/>
          <w:szCs w:val="22"/>
          <w:lang w:eastAsia="en-US"/>
        </w:rPr>
        <w:t xml:space="preserve"> of the </w:t>
      </w:r>
      <w:r w:rsidRPr="004155B1">
        <w:rPr>
          <w:rFonts w:eastAsiaTheme="minorHAnsi"/>
          <w:b/>
          <w:i/>
          <w:szCs w:val="22"/>
          <w:lang w:eastAsia="en-US"/>
        </w:rPr>
        <w:t>United Kingdom with the Agreements referred to in Article 1(1). They shall comply with the specific criteria established in those Agreements.</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t>▌</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3.</w:t>
      </w:r>
      <w:r w:rsidRPr="004155B1">
        <w:rPr>
          <w:rFonts w:eastAsiaTheme="minorHAnsi"/>
          <w:szCs w:val="22"/>
          <w:lang w:eastAsia="en-US"/>
        </w:rPr>
        <w:tab/>
        <w:t>The Commission shall be empowered to amend, suspend or repeal the measures referred to in Article 1(2) by means of implementing acts. Where appropriate, those implementing acts shall specify the duration of the suspension.</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4.</w:t>
      </w:r>
      <w:r w:rsidRPr="004155B1">
        <w:rPr>
          <w:rFonts w:eastAsiaTheme="minorHAnsi"/>
          <w:szCs w:val="22"/>
          <w:lang w:eastAsia="en-US"/>
        </w:rPr>
        <w:tab/>
        <w:t>Where there is a particular concern of one or more Member States, that or those Member States may request the Commission to adopt the measures referred to in Article 1(2). If the Commission does not respond positively to such a request, it shall inform the Council in a timely manner of its reasons.</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lastRenderedPageBreak/>
        <w:t>5.</w:t>
      </w:r>
      <w:r w:rsidRPr="004155B1">
        <w:rPr>
          <w:rFonts w:eastAsiaTheme="minorHAnsi"/>
          <w:szCs w:val="22"/>
          <w:lang w:eastAsia="en-US"/>
        </w:rPr>
        <w:tab/>
        <w:t>If, due to persisting significant divergences, the rebalancing measures referred to in Article 1(2), point (c), of this Regulation last for more than a year, one or more Member States may request the Commission to activate the review clause provided for in Article 411 of the Trade and Cooperation Agreement. The Commission shall examine that request in a timely manner and shall consider seizing as appropriate the Partnership Council of that matter, in accordance with the provisions set out in the Trade and Cooperation Agreement. If the Commission does not respond positively to such a request, it shall inform the Council in a timely manner of its reasons.</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6.</w:t>
      </w:r>
      <w:r w:rsidRPr="004155B1">
        <w:rPr>
          <w:rFonts w:eastAsiaTheme="minorHAnsi"/>
          <w:szCs w:val="22"/>
          <w:lang w:eastAsia="en-US"/>
        </w:rPr>
        <w:tab/>
        <w:t>The implementing acts referred to in paragraphs 1 and 3 of this Article shall be adopted in accordance with the examination procedure referred to in Article 3(2).</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7.</w:t>
      </w:r>
      <w:r w:rsidRPr="004155B1">
        <w:rPr>
          <w:rFonts w:eastAsiaTheme="minorHAnsi"/>
          <w:szCs w:val="22"/>
          <w:lang w:eastAsia="en-US"/>
        </w:rPr>
        <w:tab/>
        <w:t>On duly justified imperative grounds of urgency, the Commission shall adopt immediately applicable implementing acts in accordance with the procedure referred to in Article 3(3).</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t>8.</w:t>
      </w:r>
      <w:r w:rsidRPr="004155B1">
        <w:rPr>
          <w:rFonts w:eastAsiaTheme="minorHAnsi"/>
          <w:szCs w:val="22"/>
          <w:lang w:eastAsia="en-US"/>
        </w:rPr>
        <w:tab/>
      </w:r>
      <w:r w:rsidRPr="004155B1">
        <w:rPr>
          <w:rFonts w:eastAsiaTheme="minorHAnsi"/>
          <w:b/>
          <w:i/>
          <w:szCs w:val="22"/>
          <w:lang w:eastAsia="en-US"/>
        </w:rPr>
        <w:t>When the Council decides pursuant to Article 43(3) TFEU to suspend, in whole or in part, access to Union waters under the Trade and Cooperation Agreement by vessels of the United Kingdom for fisheries, it shall apply the criteria set out in paragraph 2 of this Article.</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szCs w:val="22"/>
          <w:lang w:eastAsia="en-US"/>
        </w:rPr>
        <w:lastRenderedPageBreak/>
        <w:t>Article 3</w:t>
      </w:r>
      <w:r w:rsidRPr="004155B1">
        <w:rPr>
          <w:rFonts w:eastAsiaTheme="minorHAnsi"/>
          <w:szCs w:val="22"/>
          <w:lang w:eastAsia="en-US"/>
        </w:rPr>
        <w:br/>
        <w:t>Committee procedure</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1.</w:t>
      </w:r>
      <w:r w:rsidRPr="004155B1">
        <w:rPr>
          <w:rFonts w:eastAsiaTheme="minorHAnsi"/>
          <w:szCs w:val="22"/>
          <w:lang w:eastAsia="en-US"/>
        </w:rPr>
        <w:tab/>
        <w:t xml:space="preserve">The Commission shall be assisted by the UK Committee. That committee shall be a committee within the meaning of </w:t>
      </w:r>
      <w:r w:rsidRPr="004155B1">
        <w:rPr>
          <w:rFonts w:eastAsiaTheme="minorHAnsi"/>
          <w:b/>
          <w:i/>
          <w:szCs w:val="22"/>
          <w:lang w:eastAsia="en-US"/>
        </w:rPr>
        <w:t xml:space="preserve">Article 3 of </w:t>
      </w:r>
      <w:r w:rsidRPr="004155B1">
        <w:rPr>
          <w:rFonts w:eastAsiaTheme="minorHAnsi"/>
          <w:szCs w:val="22"/>
          <w:lang w:eastAsia="en-US"/>
        </w:rPr>
        <w:t>Regulation (EU) No 182/2011.</w:t>
      </w:r>
      <w:r w:rsidRPr="004155B1">
        <w:rPr>
          <w:rFonts w:eastAsiaTheme="minorHAnsi"/>
          <w:b/>
          <w:i/>
          <w:szCs w:val="22"/>
          <w:lang w:eastAsia="en-US"/>
        </w:rPr>
        <w:t xml:space="preserve"> In accordance with Regulation (EU) No 182/2011, the European Parliament and the Council shall be regularly and promptly informed on committee proceedings.</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2.</w:t>
      </w:r>
      <w:r w:rsidRPr="004155B1">
        <w:rPr>
          <w:rFonts w:eastAsiaTheme="minorHAnsi"/>
          <w:szCs w:val="22"/>
          <w:lang w:eastAsia="en-US"/>
        </w:rPr>
        <w:tab/>
        <w:t>Where reference is made to this paragraph, Article 5 of Regulation (EU) No 182/2011 shall apply.</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szCs w:val="22"/>
          <w:lang w:eastAsia="en-US"/>
        </w:rPr>
        <w:t>3.</w:t>
      </w:r>
      <w:r w:rsidRPr="004155B1">
        <w:rPr>
          <w:rFonts w:eastAsiaTheme="minorHAnsi"/>
          <w:szCs w:val="22"/>
          <w:lang w:eastAsia="en-US"/>
        </w:rPr>
        <w:tab/>
        <w:t>Where reference is made to this paragraph, Article 8 of Regulation (EU) No 182/2011, in conjunction with Article 5 thereof, shall apply.</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t>4.</w:t>
      </w:r>
      <w:r w:rsidRPr="004155B1">
        <w:rPr>
          <w:rFonts w:eastAsiaTheme="minorHAnsi"/>
          <w:szCs w:val="22"/>
          <w:lang w:eastAsia="en-US"/>
        </w:rPr>
        <w:tab/>
      </w:r>
      <w:r w:rsidRPr="004155B1">
        <w:rPr>
          <w:rFonts w:eastAsiaTheme="minorHAnsi"/>
          <w:b/>
          <w:i/>
          <w:szCs w:val="22"/>
          <w:lang w:eastAsia="en-US"/>
        </w:rPr>
        <w:t>The European Parliament and the Council may at any time exercise their right of scrutiny in accordance with Article 11 of Regulation (EU) No 182/2011.</w:t>
      </w:r>
    </w:p>
    <w:p w:rsidR="004155B1" w:rsidRPr="004155B1" w:rsidRDefault="004155B1" w:rsidP="004155B1">
      <w:pPr>
        <w:spacing w:after="200" w:line="276" w:lineRule="auto"/>
        <w:rPr>
          <w:rFonts w:eastAsiaTheme="minorHAnsi"/>
          <w:b/>
          <w:i/>
          <w:szCs w:val="22"/>
          <w:lang w:eastAsia="en-US"/>
        </w:rPr>
      </w:pPr>
      <w:r w:rsidRPr="004155B1">
        <w:rPr>
          <w:rFonts w:eastAsiaTheme="minorHAnsi"/>
          <w:b/>
          <w:i/>
          <w:szCs w:val="22"/>
          <w:lang w:eastAsia="en-US"/>
        </w:rPr>
        <w:br w:type="page"/>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b/>
          <w:i/>
          <w:szCs w:val="22"/>
          <w:lang w:eastAsia="en-US"/>
        </w:rPr>
        <w:lastRenderedPageBreak/>
        <w:t>Article 4</w:t>
      </w:r>
      <w:r w:rsidRPr="004155B1">
        <w:rPr>
          <w:rFonts w:eastAsiaTheme="minorHAnsi"/>
          <w:b/>
          <w:i/>
          <w:szCs w:val="22"/>
          <w:lang w:eastAsia="en-US"/>
        </w:rPr>
        <w:br/>
        <w:t>Information</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t>1.</w:t>
      </w:r>
      <w:r w:rsidRPr="004155B1">
        <w:rPr>
          <w:rFonts w:eastAsiaTheme="minorHAnsi"/>
          <w:szCs w:val="22"/>
          <w:lang w:eastAsia="en-US"/>
        </w:rPr>
        <w:tab/>
      </w:r>
      <w:r w:rsidRPr="004155B1">
        <w:rPr>
          <w:rFonts w:eastAsiaTheme="minorHAnsi"/>
          <w:b/>
          <w:i/>
          <w:szCs w:val="22"/>
          <w:lang w:eastAsia="en-US"/>
        </w:rPr>
        <w:t>In order to give effect to the powers of the Council under the Treaties, as reflected in Decisions (EU) 2020/135 and (EU) 2021/689, the Council shall be kept continuously informed on a permanent and regular basis of the implementation of the Withdrawal Agreement and the Trade and Cooperation Agreement.</w:t>
      </w:r>
    </w:p>
    <w:p w:rsidR="004155B1" w:rsidRPr="004155B1" w:rsidRDefault="004155B1" w:rsidP="004155B1">
      <w:pPr>
        <w:spacing w:before="120" w:after="120" w:line="360" w:lineRule="auto"/>
        <w:ind w:left="851" w:hanging="851"/>
        <w:rPr>
          <w:rFonts w:eastAsiaTheme="minorHAnsi"/>
          <w:szCs w:val="22"/>
          <w:lang w:eastAsia="en-US"/>
        </w:rPr>
      </w:pPr>
      <w:r w:rsidRPr="004155B1">
        <w:rPr>
          <w:rFonts w:eastAsiaTheme="minorHAnsi"/>
          <w:b/>
          <w:i/>
          <w:szCs w:val="22"/>
          <w:lang w:eastAsia="en-US"/>
        </w:rPr>
        <w:t>2.</w:t>
      </w:r>
      <w:r w:rsidRPr="004155B1">
        <w:rPr>
          <w:rFonts w:eastAsiaTheme="minorHAnsi"/>
          <w:szCs w:val="22"/>
          <w:lang w:eastAsia="en-US"/>
        </w:rPr>
        <w:tab/>
      </w:r>
      <w:r w:rsidRPr="004155B1">
        <w:rPr>
          <w:rFonts w:eastAsiaTheme="minorHAnsi"/>
          <w:b/>
          <w:i/>
          <w:szCs w:val="22"/>
          <w:lang w:eastAsia="en-US"/>
        </w:rPr>
        <w:t>In order to give effect to its powers under the Treaties, the European Parliament shall be kept immediately and fully informed, in accordance with the Treaties, to allow it to exercise its institutional prerogatives.</w:t>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szCs w:val="22"/>
          <w:lang w:eastAsia="en-US"/>
        </w:rPr>
        <w:t>Article 5</w:t>
      </w:r>
      <w:r w:rsidRPr="004155B1">
        <w:rPr>
          <w:rFonts w:eastAsiaTheme="minorHAnsi"/>
          <w:szCs w:val="22"/>
          <w:lang w:eastAsia="en-US"/>
        </w:rPr>
        <w:br/>
        <w:t>Relation to other provisions of Union law</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This Regulation shall apply notwithstanding any provisions of Union law adopted on the basis of the TFEU that govern the same subject matter.</w:t>
      </w:r>
    </w:p>
    <w:p w:rsidR="004155B1" w:rsidRPr="004155B1" w:rsidRDefault="004155B1" w:rsidP="004155B1">
      <w:pPr>
        <w:spacing w:before="120" w:after="120" w:line="360" w:lineRule="auto"/>
        <w:rPr>
          <w:rFonts w:eastAsiaTheme="minorHAnsi"/>
          <w:szCs w:val="22"/>
          <w:lang w:eastAsia="en-US"/>
        </w:rPr>
      </w:pPr>
      <w:r w:rsidRPr="004155B1">
        <w:rPr>
          <w:rFonts w:eastAsiaTheme="minorHAnsi"/>
          <w:b/>
          <w:i/>
          <w:szCs w:val="22"/>
          <w:lang w:eastAsia="en-US"/>
        </w:rPr>
        <w:t>When the Commission submits its annual reports to the European Parliament and to the Council on the implementation and application of the Trade and Cooperation Agreement, it shall also include an overview of any complaints received regarding the Trade and Cooperation Agreement as well as the follow up to such complaints, and of measures adopted pursuant to Article</w:t>
      </w:r>
      <w:r w:rsidRPr="004155B1">
        <w:rPr>
          <w:rFonts w:eastAsiaTheme="minorHAnsi"/>
          <w:shd w:val="clear" w:color="auto" w:fill="FFFFFF"/>
          <w:lang w:eastAsia="en-US"/>
        </w:rPr>
        <w:t> </w:t>
      </w:r>
      <w:r w:rsidRPr="004155B1">
        <w:rPr>
          <w:rFonts w:eastAsiaTheme="minorHAnsi"/>
          <w:b/>
          <w:i/>
          <w:szCs w:val="22"/>
          <w:lang w:eastAsia="en-US"/>
        </w:rPr>
        <w:t>2 of this Regulation.</w:t>
      </w:r>
    </w:p>
    <w:p w:rsidR="004155B1" w:rsidRPr="004155B1" w:rsidRDefault="004155B1" w:rsidP="004155B1">
      <w:pPr>
        <w:spacing w:after="200" w:line="276" w:lineRule="auto"/>
        <w:rPr>
          <w:rFonts w:eastAsiaTheme="minorHAnsi"/>
          <w:szCs w:val="22"/>
          <w:lang w:eastAsia="en-US"/>
        </w:rPr>
      </w:pPr>
      <w:r w:rsidRPr="004155B1">
        <w:rPr>
          <w:rFonts w:eastAsiaTheme="minorHAnsi"/>
          <w:szCs w:val="22"/>
          <w:lang w:eastAsia="en-US"/>
        </w:rPr>
        <w:br w:type="page"/>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szCs w:val="22"/>
          <w:lang w:eastAsia="en-US"/>
        </w:rPr>
        <w:lastRenderedPageBreak/>
        <w:t>Article 6</w:t>
      </w:r>
      <w:r w:rsidRPr="004155B1">
        <w:rPr>
          <w:rFonts w:eastAsiaTheme="minorHAnsi"/>
          <w:szCs w:val="22"/>
          <w:lang w:eastAsia="en-US"/>
        </w:rPr>
        <w:br/>
        <w:t>Review</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 xml:space="preserve">By … [OJ: Please insert the date </w:t>
      </w:r>
      <w:r w:rsidRPr="004155B1">
        <w:rPr>
          <w:rFonts w:eastAsiaTheme="minorHAnsi"/>
          <w:b/>
          <w:i/>
          <w:szCs w:val="22"/>
          <w:lang w:eastAsia="en-US"/>
        </w:rPr>
        <w:t>three</w:t>
      </w:r>
      <w:r w:rsidRPr="004155B1">
        <w:rPr>
          <w:rFonts w:eastAsiaTheme="minorHAnsi"/>
          <w:szCs w:val="22"/>
          <w:lang w:eastAsia="en-US"/>
        </w:rPr>
        <w:t xml:space="preserve"> years after the date of entry into force of this Regulation], the Commission shall present a report to the European Parliament, the Council, the European Economic and Social Committee and the Committee of the Regions on the application of this Regulation</w:t>
      </w:r>
      <w:r w:rsidRPr="004155B1">
        <w:rPr>
          <w:rFonts w:eastAsiaTheme="minorHAnsi"/>
          <w:b/>
          <w:i/>
          <w:szCs w:val="22"/>
          <w:lang w:eastAsia="en-US"/>
        </w:rPr>
        <w:t>, accompanied where appropriate by relevant legislative proposals</w:t>
      </w:r>
      <w:r w:rsidRPr="004155B1">
        <w:rPr>
          <w:rFonts w:eastAsiaTheme="minorHAnsi"/>
          <w:szCs w:val="22"/>
          <w:lang w:eastAsia="en-US"/>
        </w:rPr>
        <w:t>.</w:t>
      </w:r>
    </w:p>
    <w:p w:rsidR="004155B1" w:rsidRPr="004155B1" w:rsidRDefault="004155B1" w:rsidP="004155B1">
      <w:pPr>
        <w:spacing w:before="120" w:after="120" w:line="360" w:lineRule="auto"/>
        <w:jc w:val="center"/>
        <w:rPr>
          <w:rFonts w:eastAsiaTheme="minorHAnsi"/>
          <w:szCs w:val="22"/>
          <w:lang w:eastAsia="en-US"/>
        </w:rPr>
      </w:pPr>
      <w:r w:rsidRPr="004155B1">
        <w:rPr>
          <w:rFonts w:eastAsiaTheme="minorHAnsi"/>
          <w:szCs w:val="22"/>
          <w:lang w:eastAsia="en-US"/>
        </w:rPr>
        <w:t>Article 7</w:t>
      </w:r>
      <w:r w:rsidRPr="004155B1">
        <w:rPr>
          <w:rFonts w:eastAsiaTheme="minorHAnsi"/>
          <w:szCs w:val="22"/>
          <w:lang w:eastAsia="en-US"/>
        </w:rPr>
        <w:br/>
        <w:t>Entry into force</w:t>
      </w:r>
    </w:p>
    <w:p w:rsidR="004155B1" w:rsidRPr="004155B1" w:rsidRDefault="004155B1" w:rsidP="004155B1">
      <w:pPr>
        <w:spacing w:before="120" w:after="120" w:line="360" w:lineRule="auto"/>
        <w:rPr>
          <w:rFonts w:eastAsiaTheme="minorHAnsi"/>
          <w:szCs w:val="22"/>
          <w:lang w:eastAsia="en-US"/>
        </w:rPr>
      </w:pPr>
      <w:r w:rsidRPr="004155B1">
        <w:rPr>
          <w:rFonts w:eastAsiaTheme="minorHAnsi"/>
          <w:szCs w:val="22"/>
          <w:lang w:eastAsia="en-US"/>
        </w:rPr>
        <w:t xml:space="preserve">This Regulation shall enter into force on the twentieth day following that of its publication in the </w:t>
      </w:r>
      <w:r w:rsidRPr="004155B1">
        <w:rPr>
          <w:rFonts w:eastAsiaTheme="minorHAnsi"/>
          <w:i/>
          <w:szCs w:val="22"/>
          <w:lang w:eastAsia="en-US"/>
        </w:rPr>
        <w:t>Official Journal of the European Union</w:t>
      </w:r>
      <w:r w:rsidRPr="004155B1">
        <w:rPr>
          <w:rFonts w:eastAsiaTheme="minorHAnsi"/>
          <w:szCs w:val="22"/>
          <w:lang w:eastAsia="en-US"/>
        </w:rPr>
        <w:t>.</w:t>
      </w:r>
    </w:p>
    <w:p w:rsidR="004155B1" w:rsidRPr="004155B1" w:rsidRDefault="004155B1" w:rsidP="004155B1">
      <w:pPr>
        <w:spacing w:before="480" w:after="120" w:line="360" w:lineRule="auto"/>
        <w:rPr>
          <w:rFonts w:eastAsiaTheme="minorHAnsi"/>
          <w:szCs w:val="22"/>
          <w:lang w:eastAsia="en-US"/>
        </w:rPr>
      </w:pPr>
      <w:r w:rsidRPr="004155B1">
        <w:rPr>
          <w:rFonts w:eastAsiaTheme="minorHAnsi"/>
          <w:szCs w:val="22"/>
          <w:lang w:eastAsia="en-US"/>
        </w:rPr>
        <w:t>This Regulation shall be binding in its entirety and directly applicable in all Member States.</w:t>
      </w:r>
    </w:p>
    <w:p w:rsidR="004155B1" w:rsidRPr="004155B1" w:rsidRDefault="004155B1" w:rsidP="004155B1">
      <w:pPr>
        <w:spacing w:before="480" w:line="360" w:lineRule="auto"/>
        <w:rPr>
          <w:rFonts w:eastAsiaTheme="minorHAnsi"/>
          <w:szCs w:val="22"/>
          <w:lang w:eastAsia="en-US"/>
        </w:rPr>
      </w:pPr>
      <w:r w:rsidRPr="004155B1">
        <w:rPr>
          <w:rFonts w:eastAsiaTheme="minorHAnsi"/>
          <w:szCs w:val="22"/>
          <w:lang w:eastAsia="en-US"/>
        </w:rPr>
        <w:t>Done at …,</w:t>
      </w:r>
    </w:p>
    <w:p w:rsidR="004155B1" w:rsidRPr="004155B1" w:rsidRDefault="004155B1" w:rsidP="004155B1">
      <w:pPr>
        <w:tabs>
          <w:tab w:val="left" w:pos="4252"/>
        </w:tabs>
        <w:spacing w:beforeLines="720" w:before="1728" w:line="360" w:lineRule="auto"/>
        <w:rPr>
          <w:rFonts w:eastAsiaTheme="minorHAnsi"/>
          <w:i/>
          <w:lang w:eastAsia="en-US"/>
        </w:rPr>
      </w:pPr>
      <w:r w:rsidRPr="004155B1">
        <w:rPr>
          <w:rFonts w:eastAsiaTheme="minorHAnsi"/>
          <w:i/>
          <w:lang w:eastAsia="en-US"/>
        </w:rPr>
        <w:t>For the European Parliament</w:t>
      </w:r>
      <w:r w:rsidRPr="004155B1">
        <w:rPr>
          <w:rFonts w:eastAsiaTheme="minorHAnsi"/>
          <w:i/>
          <w:lang w:eastAsia="en-US"/>
        </w:rPr>
        <w:tab/>
        <w:t>For the Council</w:t>
      </w:r>
    </w:p>
    <w:p w:rsidR="000F2FE2" w:rsidRPr="004155B1" w:rsidRDefault="004155B1" w:rsidP="005522C5">
      <w:pPr>
        <w:tabs>
          <w:tab w:val="left" w:pos="4252"/>
        </w:tabs>
        <w:spacing w:line="360" w:lineRule="auto"/>
      </w:pPr>
      <w:r w:rsidRPr="004155B1">
        <w:rPr>
          <w:rFonts w:eastAsiaTheme="minorHAnsi"/>
          <w:i/>
          <w:lang w:eastAsia="en-US"/>
        </w:rPr>
        <w:t>The President</w:t>
      </w:r>
      <w:r w:rsidRPr="004155B1">
        <w:rPr>
          <w:rFonts w:eastAsiaTheme="minorHAnsi"/>
          <w:i/>
          <w:lang w:eastAsia="en-US"/>
        </w:rPr>
        <w:tab/>
        <w:t>The President</w:t>
      </w:r>
      <w:bookmarkStart w:id="2" w:name="_GoBack"/>
      <w:bookmarkEnd w:id="2"/>
    </w:p>
    <w:sectPr w:rsidR="000F2FE2" w:rsidRPr="004155B1" w:rsidSect="009844B0">
      <w:footerReference w:type="first" r:id="rId10"/>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4D" w:rsidRPr="004155B1" w:rsidRDefault="00544B4D">
      <w:r w:rsidRPr="004155B1">
        <w:separator/>
      </w:r>
    </w:p>
    <w:p w:rsidR="00544B4D" w:rsidRPr="004155B1" w:rsidRDefault="00544B4D"/>
  </w:endnote>
  <w:endnote w:type="continuationSeparator" w:id="0">
    <w:p w:rsidR="00544B4D" w:rsidRPr="004155B1" w:rsidRDefault="00544B4D">
      <w:r w:rsidRPr="004155B1">
        <w:continuationSeparator/>
      </w:r>
    </w:p>
    <w:p w:rsidR="00544B4D" w:rsidRPr="004155B1" w:rsidRDefault="0054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4155B1" w:rsidRDefault="004155B1" w:rsidP="004155B1">
    <w:pPr>
      <w:pStyle w:val="Footer"/>
      <w:jc w:val="center"/>
    </w:pPr>
    <w:r>
      <w:fldChar w:fldCharType="begin"/>
    </w:r>
    <w:r>
      <w:instrText xml:space="preserve"> PAGE  \* ArabicDash  \* MERGEFORMAT </w:instrText>
    </w:r>
    <w:r>
      <w:fldChar w:fldCharType="separate"/>
    </w:r>
    <w:r w:rsidR="005522C5">
      <w:rPr>
        <w:noProof/>
      </w:rPr>
      <w:t>- 16 -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4155B1" w:rsidRDefault="00A3406C" w:rsidP="002E0D12">
    <w:pPr>
      <w:pStyle w:val="EPFooter"/>
    </w:pPr>
    <w:r w:rsidRPr="004155B1">
      <w:tab/>
    </w:r>
    <w:r w:rsidRPr="004155B1">
      <w:tab/>
    </w:r>
    <w:r w:rsidR="003A5B9A" w:rsidRPr="004155B1">
      <w:t>PE</w:t>
    </w:r>
    <w:r w:rsidR="004155B1" w:rsidRPr="004155B1">
      <w:t>695.901v01-00</w:t>
    </w:r>
  </w:p>
  <w:p w:rsidR="00AA1411" w:rsidRPr="004155B1" w:rsidRDefault="00255F3F" w:rsidP="00342886">
    <w:pPr>
      <w:pStyle w:val="EPFooter2"/>
      <w:tabs>
        <w:tab w:val="clear" w:pos="4535"/>
        <w:tab w:val="center" w:pos="4536"/>
      </w:tabs>
      <w:ind w:left="-840"/>
    </w:pPr>
    <w:fldSimple w:instr=" DOCPROPERTY &quot;&lt;Extension&gt;&quot; ">
      <w:r w:rsidR="004155B1">
        <w:t>EN</w:t>
      </w:r>
    </w:fldSimple>
    <w:r w:rsidR="00AA1411" w:rsidRPr="004155B1">
      <w:tab/>
    </w:r>
    <w:r w:rsidR="004155B1" w:rsidRPr="004155B1">
      <w:rPr>
        <w:b w:val="0"/>
        <w:i/>
        <w:color w:val="C0C0C0"/>
        <w:sz w:val="22"/>
        <w:szCs w:val="22"/>
      </w:rPr>
      <w:t>United in diversity</w:t>
    </w:r>
    <w:r w:rsidR="00AA1411" w:rsidRPr="004155B1">
      <w:tab/>
    </w:r>
    <w:fldSimple w:instr=" DOCPROPERTY &quot;&lt;Extension&gt;&quot; ">
      <w:r w:rsidR="004155B1">
        <w:t>EN</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4155B1" w:rsidRDefault="009844B0" w:rsidP="002E0D12">
    <w:pPr>
      <w:pStyle w:val="EPFooter"/>
    </w:pPr>
    <w:r w:rsidRPr="004155B1">
      <w:tab/>
    </w:r>
    <w:r w:rsidRPr="004155B1">
      <w:tab/>
    </w:r>
    <w:r w:rsidR="003A5B9A" w:rsidRPr="004155B1">
      <w:t>PE</w:t>
    </w:r>
    <w:r w:rsidR="004155B1" w:rsidRPr="004155B1">
      <w:t>695.901v01-00</w:t>
    </w:r>
  </w:p>
  <w:p w:rsidR="009844B0" w:rsidRPr="004155B1" w:rsidRDefault="005522C5" w:rsidP="00342886">
    <w:pPr>
      <w:pStyle w:val="EPFooter2"/>
      <w:tabs>
        <w:tab w:val="clear" w:pos="4535"/>
        <w:tab w:val="center" w:pos="4536"/>
      </w:tabs>
      <w:ind w:left="-840"/>
    </w:pPr>
    <w:r>
      <w:fldChar w:fldCharType="begin"/>
    </w:r>
    <w:r>
      <w:instrText xml:space="preserve"> DOCPROPERTY "&lt;Extension&gt;" </w:instrText>
    </w:r>
    <w:r>
      <w:fldChar w:fldCharType="separate"/>
    </w:r>
    <w:r w:rsidR="004155B1" w:rsidRPr="004155B1">
      <w:t>EN</w:t>
    </w:r>
    <w:r>
      <w:fldChar w:fldCharType="end"/>
    </w:r>
    <w:r w:rsidR="009844B0" w:rsidRPr="004155B1">
      <w:tab/>
    </w:r>
    <w:r w:rsidR="004155B1" w:rsidRPr="004155B1">
      <w:rPr>
        <w:b w:val="0"/>
        <w:i/>
        <w:color w:val="C0C0C0"/>
        <w:sz w:val="22"/>
        <w:szCs w:val="22"/>
      </w:rPr>
      <w:t>United in diversity</w:t>
    </w:r>
    <w:r w:rsidR="009844B0" w:rsidRPr="004155B1">
      <w:tab/>
    </w:r>
    <w:r>
      <w:fldChar w:fldCharType="begin"/>
    </w:r>
    <w:r>
      <w:instrText xml:space="preserve"> DOCPROPERTY "&lt;Extension&gt;" </w:instrText>
    </w:r>
    <w:r>
      <w:fldChar w:fldCharType="separate"/>
    </w:r>
    <w:r w:rsidR="004155B1" w:rsidRPr="004155B1">
      <w:t>EN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4D" w:rsidRPr="004155B1" w:rsidRDefault="00544B4D">
      <w:r w:rsidRPr="004155B1">
        <w:separator/>
      </w:r>
    </w:p>
  </w:footnote>
  <w:footnote w:type="continuationSeparator" w:id="0">
    <w:p w:rsidR="00544B4D" w:rsidRPr="004155B1" w:rsidRDefault="00544B4D">
      <w:r w:rsidRPr="004155B1">
        <w:continuationSeparator/>
      </w:r>
    </w:p>
    <w:p w:rsidR="00544B4D" w:rsidRPr="004155B1" w:rsidRDefault="00544B4D"/>
  </w:footnote>
  <w:footnote w:id="1">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OJ C 365, 23.9.2022, p. 66.</w:t>
      </w:r>
    </w:p>
  </w:footnote>
  <w:footnote w:id="2">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 xml:space="preserve">Position of the European Parliament of 14 February 2023. </w:t>
      </w:r>
    </w:p>
  </w:footnote>
  <w:footnote w:id="3">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OJ L 29, 31.1.2020, p. 7.</w:t>
      </w:r>
    </w:p>
  </w:footnote>
  <w:footnote w:id="4">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OJ L 149, 30.4.2021, p. 10.</w:t>
      </w:r>
    </w:p>
  </w:footnote>
  <w:footnote w:id="5">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6">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7">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Council Decision (EU) 2021/689 of 29 April 2021 on the conclusion, on behalf of the Union, of the Trade and Cooperation Agreement between the European Union and the European Atomic Energy Community, of the one part, and the United Kingdom of Great Britain and Northern Ireland, of the other part, and of the Agreement between the European Union and the United Kingdom of Great Britain and Northern Ireland concerning security procedures for exchanging and protecting classified information (OJ L 149, 30.4.2021, p. 2).</w:t>
      </w:r>
    </w:p>
  </w:footnote>
  <w:footnote w:id="8">
    <w:p w:rsidR="004155B1" w:rsidRPr="004155B1" w:rsidRDefault="004155B1" w:rsidP="004155B1">
      <w:pPr>
        <w:pStyle w:val="FootnoteText"/>
        <w:ind w:left="567" w:hanging="567"/>
        <w:rPr>
          <w:sz w:val="24"/>
        </w:rPr>
      </w:pPr>
      <w:r w:rsidRPr="004155B1">
        <w:rPr>
          <w:rStyle w:val="FootnoteReference"/>
          <w:sz w:val="24"/>
        </w:rPr>
        <w:footnoteRef/>
      </w:r>
      <w:r w:rsidRPr="004155B1">
        <w:rPr>
          <w:sz w:val="24"/>
          <w:szCs w:val="24"/>
        </w:rPr>
        <w:t xml:space="preserve"> </w:t>
      </w:r>
      <w:r w:rsidRPr="004155B1">
        <w:rPr>
          <w:sz w:val="24"/>
          <w:szCs w:val="24"/>
        </w:rPr>
        <w:tab/>
        <w:t>Regulation</w:t>
      </w:r>
      <w:r w:rsidRPr="004155B1">
        <w:rPr>
          <w:rFonts w:eastAsiaTheme="minorHAnsi"/>
          <w:sz w:val="24"/>
          <w:szCs w:val="24"/>
          <w:lang w:eastAsia="en-US"/>
        </w:rPr>
        <w:t xml:space="preserve"> (EU) 2017/2403 of the European Parliament and of the Council</w:t>
      </w:r>
      <w:r w:rsidRPr="004155B1">
        <w:rPr>
          <w:sz w:val="24"/>
          <w:szCs w:val="24"/>
        </w:rPr>
        <w:t xml:space="preserve"> of 12 December 2017 </w:t>
      </w:r>
      <w:r w:rsidRPr="004155B1">
        <w:rPr>
          <w:rFonts w:eastAsiaTheme="minorHAnsi"/>
          <w:sz w:val="24"/>
          <w:szCs w:val="24"/>
          <w:lang w:eastAsia="en-US"/>
        </w:rPr>
        <w:t>on the sustainable management of external fishing fleets, and repealing Council Regulation (EC) No 1006/2008</w:t>
      </w:r>
      <w:r w:rsidRPr="004155B1">
        <w:rPr>
          <w:sz w:val="24"/>
          <w:szCs w:val="24"/>
        </w:rPr>
        <w:t xml:space="preserve"> (OJ L 347, 28.12.2017, p. 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4/02/2023"/>
    <w:docVar w:name="DOCDT" w:val="14/02/2023"/>
    <w:docVar w:name="LastEditedSection" w:val=" 1"/>
    <w:docVar w:name="LVLMNU" w:val="1"/>
    <w:docVar w:name="Num-PE" w:val="695.901v01-00"/>
    <w:docVar w:name="strDocTypeID" w:val="TA_TC"/>
    <w:docVar w:name="strSubDir" w:val="A9-"/>
    <w:docVar w:name="TA_Type" w:val="TA_TC"/>
    <w:docVar w:name="Titre" w:val="adopted at first reading on 14 February 2023 with a view to the adoption of Regulation (EU) 2023/… of the European Parliament and of the Council laying down rules for the exercise of the Union's rights in the implementation and enforcement of the Agreement on the withdrawal of the United Kingdom of Great Britain and Northern Ireland from the European Union and the European Atomic Energy Community and of the Trade and Cooperation Agreement between the European Union and the European Atomic Energy Community, of the one part, and the United Kingdom of Great Britain and Northern Ireland, of the other part (EP-PE_TC1-COD(2022)0068)"/>
    <w:docVar w:name="Titre-Type" w:val="POSITION OF THE EUROPEAN PARLIAMENT"/>
    <w:docVar w:name="TXTLANGUE" w:val="EN"/>
    <w:docVar w:name="TXTLANGUEMIN" w:val="en"/>
    <w:docVar w:name="TXTNRCOD" w:val="0068"/>
    <w:docVar w:name="TXTNRPE" w:val="695.901v01-00"/>
    <w:docVar w:name="TXTPEorAP" w:val="PE"/>
    <w:docVar w:name="TXTREFSOURCE" w:val="EP-PE_TC1-COD(2022)0068"/>
    <w:docVar w:name="TXTROUTE" w:val="RR\A9-0248/2022EN.docx"/>
    <w:docVar w:name="TXTRULE" w:val="adopted at first reading on 14 February 2023 with a view to the adoption of Regulation (EU) 2023/… of the European Parliament and of the Council laying down rules for the exercise of the Union's rights in the implementation and enforcement of the Agreement on the withdrawal of the United Kingdom of Great Britain and Northern Ireland from the European Union and the European Atomic Energy Community and of the Trade and Cooperation Agreement between the European Union and the European Atomic Energy Community, of the one part, and the United Kingdom of Great Britain and Northern Ireland, of the other part"/>
    <w:docVar w:name="TXTRULE2" w:val="!ZZRULE2!"/>
    <w:docVar w:name="TXTRULE3" w:val="!ZZRULE3!"/>
    <w:docVar w:name="TXTYEAR" w:val="2022"/>
  </w:docVars>
  <w:rsids>
    <w:rsidRoot w:val="00544B4D"/>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55F3F"/>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A5B9A"/>
    <w:rsid w:val="003F247C"/>
    <w:rsid w:val="00407D75"/>
    <w:rsid w:val="004155B1"/>
    <w:rsid w:val="004379F2"/>
    <w:rsid w:val="00482700"/>
    <w:rsid w:val="00494D50"/>
    <w:rsid w:val="00523372"/>
    <w:rsid w:val="00544B4D"/>
    <w:rsid w:val="005522C5"/>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744F39B-663D-4277-8BA0-27FA3D50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F8DD-1A2D-4EC5-B69F-CE523947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2946</Words>
  <Characters>15740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Lyndsey</dc:creator>
  <cp:keywords/>
  <cp:lastModifiedBy>Marija LUKSITE</cp:lastModifiedBy>
  <cp:revision>4</cp:revision>
  <dcterms:created xsi:type="dcterms:W3CDTF">2023-02-22T08:39:00Z</dcterms:created>
  <dcterms:modified xsi:type="dcterms:W3CDTF">2023-03-23T16:10:00Z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695.901v01-00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A9-0248/2022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RR\A9-0248/2022EN.docx</vt:lpwstr>
  </property>
</Properties>
</file>