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Priority question for written answer P-001999/2023</w:t>
      </w:r>
    </w:p>
    <w:p>
      <w:pPr>
        <w:pStyle w:val="Arial10"/>
      </w:pPr>
      <w:r>
        <w:rPr>
          <w:rStyle w:val="Bold"/>
        </w:rPr>
        <w:t>to the Commission</w:t>
      </w:r>
    </w:p>
    <w:p>
      <w:pPr>
        <w:pStyle w:val="Arial10"/>
      </w:pPr>
      <w:r>
        <w:t>Rule 138</w:t>
      </w:r>
    </w:p>
    <w:p>
      <w:pPr>
        <w:pStyle w:val="Arial10After10"/>
      </w:pPr>
      <w:r>
        <w:rPr>
          <w:rStyle w:val="Bold"/>
        </w:rPr>
        <w:t>Pierre Karleskind</w:t>
      </w:r>
      <w:r>
        <w:t xml:space="preserve"> (</w:t>
      </w:r>
      <w:r>
        <w:t>Renew</w:t>
      </w:r>
      <w:r>
        <w:t>)</w:t>
      </w:r>
    </w:p>
    <w:p>
      <w:pPr>
        <w:pStyle w:val="Subject"/>
      </w:pPr>
      <w:r>
        <w:t>Subject</w:t>
      </w:r>
      <w:r>
        <w:t>:</w:t>
      </w:r>
      <w:r>
        <w:tab/>
      </w:r>
      <w:r>
        <w:t xml:space="preserve">Rules and methods for monitoring and reporting greenhouse gas emissions, and other relevant information for maritime transport </w:t>
      </w:r>
    </w:p>
    <w:p>
      <w:pPr>
        <w:pStyle w:val="Body"/>
      </w:pPr>
      <w:r>
        <w:t>Directive (EU) 2023/959, published on 16 May 2023, includes maritime transport in the EU Emissions Trading System. I would like to draw the Commission’s attention to the need for companies to have the criteria and methods for making the ad hoc calculations detailed in the implementing acts and delegated acts in good time.</w:t>
      </w:r>
    </w:p>
    <w:p>
      <w:pPr>
        <w:pStyle w:val="itemList"/>
      </w:pPr>
      <w:r>
        <w:t>1.</w:t>
      </w:r>
      <w:r>
        <w:tab/>
      </w:r>
      <w:r>
        <w:t>What is the Commission’s planned timeline for publishing the implementing acts that will guide the maritime transport sector on the use of alternative fuels?</w:t>
      </w:r>
    </w:p>
    <w:p>
      <w:pPr>
        <w:pStyle w:val="itemList"/>
      </w:pPr>
      <w:r>
        <w:t>2.</w:t>
      </w:r>
      <w:r>
        <w:tab/>
      </w:r>
      <w:r>
        <w:t>How will it take account of non-CO2 emissions from alternative fuels, given that the EU ETS for maritime transport will also include methane and nitrous oxide emissions?</w:t>
      </w:r>
    </w:p>
    <w:p>
      <w:pPr>
        <w:pStyle w:val="Body"/>
      </w:pPr>
      <w:r>
        <w:t>Submitted:22.6.2023</w:t>
      </w:r>
    </w:p>
    <w:sectPr>
      <w:footerReference w:type="even" r:id="rId4"/>
      <w:footerReference w:type="default" r:id="rId5"/>
      <w:footerReference w:type="first" r:id="rId6"/>
      <w:pgSz w:w="11906" w:h="16838"/>
      <w:pgMar w:top="1440" w:right="1440" w:bottom="2000" w:left="1440" w:header="568" w:footer="568" w:gutter="0"/>
      <w:cols w:num="1"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PE751.262v01-00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PE751.262v01-00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PE751.262v01-00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question for written answer</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20230627-133514-001952-308896</vt:lpwstr>
  </property>
</Properties>
</file>