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Question for written answer E-001981/2023</w:t>
      </w:r>
    </w:p>
    <w:p>
      <w:pPr>
        <w:pStyle w:val="Arial10"/>
      </w:pPr>
      <w:r>
        <w:rPr>
          <w:rStyle w:val="Bold"/>
        </w:rPr>
        <w:t>to the Commission</w:t>
      </w:r>
    </w:p>
    <w:p>
      <w:pPr>
        <w:pStyle w:val="Arial10"/>
      </w:pPr>
      <w:r>
        <w:t>Rule 138</w:t>
      </w:r>
    </w:p>
    <w:p>
      <w:pPr>
        <w:pStyle w:val="Arial10After10"/>
      </w:pPr>
      <w:r>
        <w:rPr>
          <w:rStyle w:val="Bold"/>
        </w:rPr>
        <w:t>Paola Ghidoni</w:t>
      </w:r>
      <w:r>
        <w:t xml:space="preserve"> (</w:t>
      </w:r>
      <w:r>
        <w:t>ID</w:t>
      </w:r>
      <w:r>
        <w:t>)</w:t>
      </w:r>
    </w:p>
    <w:p>
      <w:pPr>
        <w:pStyle w:val="Subject"/>
      </w:pPr>
      <w:r>
        <w:t>Subject</w:t>
      </w:r>
      <w:r>
        <w:t>:</w:t>
      </w:r>
      <w:r>
        <w:tab/>
      </w:r>
      <w:r>
        <w:t>Reform of EU packaging rules: risk to Italy’s virtuous circle of recycling and food safety</w:t>
      </w:r>
    </w:p>
    <w:p>
      <w:pPr>
        <w:pStyle w:val="Body"/>
      </w:pPr>
      <w:r>
        <w:t>The proposal for a regulation amending existing EU packaging legislation (COM(2022)677), which is currently under discussion, would severely penalise Italy, one of the most virtuous countries in terms of per-capita recycling volumes.  With almost 74% of packaging being recycled, Italy has already exceeded the 65% target set by the EU for 2025.</w:t>
      </w:r>
    </w:p>
    <w:p>
      <w:pPr>
        <w:pStyle w:val="Body"/>
      </w:pPr>
      <w:r>
        <w:t xml:space="preserve">Regarding the proposed amendments, Italian operators are particularly concerned about the imposition, without adequate justification, of restrictions, bans and reuse requirements, thereby causing serious difficulties for many sectors, from agri-food to trade and from tourism to catering and entertainment. </w:t>
      </w:r>
    </w:p>
    <w:p>
      <w:pPr>
        <w:pStyle w:val="Body"/>
      </w:pPr>
      <w:r>
        <w:t>Single-use and reuse systems should be complementary and non-competing solutions, especially in view of the fact that the latter consume much more water and energy and produce 177% more carbon dioxide emissions than the former.</w:t>
      </w:r>
    </w:p>
    <w:p>
      <w:pPr>
        <w:pStyle w:val="Body"/>
      </w:pPr>
      <w:r>
        <w:t>Packaging is also intended to protect food safety, which is therefore compromised by the reuse thereof and the ban on single use. This applies in particular to fruit and vegetables, a sector worth EUR 4.8 billion in Italy.</w:t>
      </w:r>
    </w:p>
    <w:p>
      <w:pPr>
        <w:pStyle w:val="Body"/>
      </w:pPr>
      <w:r>
        <w:t>In view of this:</w:t>
      </w:r>
    </w:p>
    <w:p>
      <w:pPr>
        <w:pStyle w:val="itemList"/>
      </w:pPr>
      <w:r>
        <w:t>1.</w:t>
      </w:r>
      <w:r>
        <w:tab/>
      </w:r>
      <w:r>
        <w:t>How does the Commission respond to the justified criticisms of operators regarding problems caused by reused as opposed to single-use packaging?</w:t>
      </w:r>
    </w:p>
    <w:p>
      <w:pPr>
        <w:pStyle w:val="itemList"/>
      </w:pPr>
      <w:r>
        <w:t>2.</w:t>
      </w:r>
      <w:r>
        <w:tab/>
      </w:r>
      <w:r>
        <w:t>How does it plan to protect agri-food products and ensure food safety for consumers?</w:t>
      </w:r>
    </w:p>
    <w:p>
      <w:pPr>
        <w:pStyle w:val="Body"/>
      </w:pPr>
      <w:r>
        <w:t>Submitted:21.6.2023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PE751.244v01-00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PE751.244v01-00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PE751.244v01-00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for written answer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20230626-163827-001540-944001</vt:lpwstr>
  </property>
</Properties>
</file>